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33" w:rsidRDefault="00636CED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636CED">
      <w:pPr>
        <w:pStyle w:val="a3"/>
        <w:rPr>
          <w:b/>
        </w:rPr>
      </w:pPr>
      <w:r>
        <w:rPr>
          <w:b/>
        </w:rPr>
        <w:t xml:space="preserve"> </w:t>
      </w: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636CED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636CED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4216,</w:t>
      </w:r>
      <w:r>
        <w:rPr>
          <w:spacing w:val="-2"/>
        </w:rPr>
        <w:t xml:space="preserve"> </w:t>
      </w:r>
      <w:r>
        <w:t>TP</w:t>
      </w:r>
      <w:r>
        <w:rPr>
          <w:spacing w:val="-3"/>
        </w:rPr>
        <w:t xml:space="preserve"> </w:t>
      </w:r>
      <w:r>
        <w:t>4304</w:t>
      </w:r>
      <w:r>
        <w:rPr>
          <w:spacing w:val="-2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636CED" w:rsidRDefault="00636CED" w:rsidP="00636CED">
      <w:pPr>
        <w:pStyle w:val="11"/>
        <w:spacing w:before="1"/>
        <w:ind w:left="102" w:right="418" w:firstLine="69"/>
        <w:jc w:val="center"/>
      </w:pPr>
      <w:r>
        <w:t>(04210100-Құқықтану мамандығы үшін)</w:t>
      </w:r>
    </w:p>
    <w:p w:rsidR="00636CED" w:rsidRDefault="00636CED" w:rsidP="00636CED">
      <w:pPr>
        <w:pStyle w:val="a3"/>
        <w:jc w:val="both"/>
        <w:rPr>
          <w:b/>
          <w:sz w:val="30"/>
        </w:rPr>
      </w:pPr>
    </w:p>
    <w:p w:rsidR="00274C33" w:rsidRDefault="00636CED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74C33" w:rsidRDefault="00636CED">
      <w:pPr>
        <w:pStyle w:val="a3"/>
        <w:rPr>
          <w:b/>
        </w:rPr>
      </w:pPr>
      <w:r>
        <w:rPr>
          <w:b/>
        </w:rPr>
        <w:t xml:space="preserve"> </w:t>
      </w: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rPr>
          <w:b/>
        </w:rPr>
      </w:pPr>
    </w:p>
    <w:p w:rsidR="00274C33" w:rsidRDefault="00274C33">
      <w:pPr>
        <w:pStyle w:val="a3"/>
        <w:spacing w:before="1"/>
        <w:rPr>
          <w:b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636CED" w:rsidRDefault="00636CED">
      <w:pPr>
        <w:ind w:left="714" w:right="102"/>
        <w:jc w:val="center"/>
        <w:rPr>
          <w:b/>
          <w:sz w:val="24"/>
          <w:szCs w:val="24"/>
        </w:rPr>
      </w:pPr>
    </w:p>
    <w:p w:rsidR="00274C33" w:rsidRDefault="00636CED">
      <w:pPr>
        <w:ind w:left="71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17AD9"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:rsidR="00274C33" w:rsidRDefault="00636CED">
      <w:pPr>
        <w:spacing w:before="78"/>
        <w:ind w:left="119" w:firstLine="56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6B04204 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1"/>
          <w:sz w:val="24"/>
          <w:szCs w:val="24"/>
        </w:rPr>
        <w:t xml:space="preserve"> </w:t>
      </w:r>
      <w:r w:rsidR="00317AD9">
        <w:rPr>
          <w:sz w:val="24"/>
          <w:szCs w:val="24"/>
        </w:rPr>
        <w:t>оқу бағдарламасы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жұмыс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жоспарының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негізінде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жасалынды</w:t>
      </w:r>
    </w:p>
    <w:p w:rsidR="00274C33" w:rsidRDefault="00274C33">
      <w:pPr>
        <w:pStyle w:val="a3"/>
      </w:pPr>
    </w:p>
    <w:p w:rsidR="00274C33" w:rsidRDefault="00274C33">
      <w:pPr>
        <w:pStyle w:val="a3"/>
      </w:pPr>
    </w:p>
    <w:p w:rsidR="00274C33" w:rsidRDefault="00636CED">
      <w:pPr>
        <w:pStyle w:val="a3"/>
        <w:spacing w:before="230"/>
        <w:ind w:left="685"/>
      </w:pPr>
      <w:r>
        <w:t>ПОӘК</w:t>
      </w:r>
      <w:r>
        <w:rPr>
          <w:spacing w:val="-2"/>
        </w:rPr>
        <w:t xml:space="preserve"> </w:t>
      </w:r>
      <w:r>
        <w:t>құрастырған -</w:t>
      </w:r>
      <w:r>
        <w:rPr>
          <w:spacing w:val="-2"/>
        </w:rPr>
        <w:t xml:space="preserve"> </w:t>
      </w:r>
      <w:r>
        <w:t>оқытушы</w:t>
      </w:r>
      <w:r>
        <w:rPr>
          <w:spacing w:val="-3"/>
        </w:rPr>
        <w:t xml:space="preserve"> </w:t>
      </w:r>
      <w:r>
        <w:t>М.Н.</w:t>
      </w:r>
      <w:r>
        <w:rPr>
          <w:spacing w:val="-1"/>
        </w:rPr>
        <w:t xml:space="preserve"> </w:t>
      </w:r>
      <w:r>
        <w:t>Абишева</w:t>
      </w:r>
    </w:p>
    <w:p w:rsidR="00274C33" w:rsidRDefault="00274C33">
      <w:pPr>
        <w:pStyle w:val="a3"/>
      </w:pPr>
    </w:p>
    <w:p w:rsidR="00274C33" w:rsidRDefault="00274C33">
      <w:pPr>
        <w:pStyle w:val="a3"/>
      </w:pPr>
    </w:p>
    <w:p w:rsidR="00274C33" w:rsidRDefault="00636CED">
      <w:pPr>
        <w:pStyle w:val="a3"/>
        <w:ind w:left="685"/>
      </w:pPr>
      <w:r>
        <w:rPr>
          <w:lang w:val="en-US"/>
        </w:rPr>
        <w:t xml:space="preserve">________________   </w:t>
      </w:r>
      <w:r>
        <w:t>мәжілісінде</w:t>
      </w:r>
      <w:r>
        <w:rPr>
          <w:spacing w:val="-3"/>
        </w:rPr>
        <w:t xml:space="preserve"> </w:t>
      </w:r>
      <w:r>
        <w:t>қаралып</w:t>
      </w:r>
      <w:r>
        <w:rPr>
          <w:spacing w:val="-1"/>
        </w:rPr>
        <w:t xml:space="preserve"> </w:t>
      </w:r>
      <w:r>
        <w:t>ұсынылды</w:t>
      </w:r>
    </w:p>
    <w:p w:rsidR="00274C33" w:rsidRDefault="00274C33">
      <w:pPr>
        <w:pStyle w:val="a3"/>
      </w:pPr>
    </w:p>
    <w:p w:rsidR="00274C33" w:rsidRDefault="00636CED">
      <w:pPr>
        <w:pStyle w:val="a3"/>
        <w:tabs>
          <w:tab w:val="left" w:pos="719"/>
          <w:tab w:val="left" w:pos="2399"/>
        </w:tabs>
        <w:ind w:left="119"/>
      </w:pPr>
      <w:r>
        <w:t>«</w:t>
      </w:r>
      <w:r w:rsidR="00317AD9">
        <w:t>04</w:t>
      </w:r>
      <w:r>
        <w:t>»</w:t>
      </w:r>
      <w:r>
        <w:tab/>
        <w:t xml:space="preserve"> </w:t>
      </w:r>
      <w:r w:rsidR="00317AD9">
        <w:t xml:space="preserve">шілде </w:t>
      </w:r>
      <w:r>
        <w:t>202</w:t>
      </w:r>
      <w:r w:rsidR="00317AD9">
        <w:t>3</w:t>
      </w:r>
      <w:r>
        <w:rPr>
          <w:spacing w:val="-1"/>
        </w:rPr>
        <w:t xml:space="preserve"> </w:t>
      </w:r>
      <w:r>
        <w:t>ж.,</w:t>
      </w:r>
      <w:r>
        <w:rPr>
          <w:spacing w:val="-1"/>
        </w:rPr>
        <w:t xml:space="preserve"> </w:t>
      </w:r>
      <w:r>
        <w:t xml:space="preserve">хаттама № </w:t>
      </w:r>
      <w:r w:rsidR="00317AD9">
        <w:t>20</w:t>
      </w:r>
    </w:p>
    <w:p w:rsidR="00274C33" w:rsidRDefault="00274C33">
      <w:pPr>
        <w:pStyle w:val="a3"/>
      </w:pPr>
    </w:p>
    <w:p w:rsidR="00274C33" w:rsidRDefault="00274C33">
      <w:pPr>
        <w:pStyle w:val="a3"/>
      </w:pPr>
    </w:p>
    <w:p w:rsidR="00274C33" w:rsidRDefault="00274C33">
      <w:pPr>
        <w:pStyle w:val="a3"/>
      </w:pPr>
    </w:p>
    <w:p w:rsidR="00274C33" w:rsidRDefault="00274C33">
      <w:pPr>
        <w:pStyle w:val="a3"/>
        <w:spacing w:before="2"/>
      </w:pPr>
    </w:p>
    <w:p w:rsidR="00274C33" w:rsidRPr="00636CED" w:rsidRDefault="00636CED">
      <w:pPr>
        <w:pStyle w:val="a3"/>
        <w:tabs>
          <w:tab w:val="left" w:pos="5259"/>
          <w:tab w:val="left" w:pos="6339"/>
          <w:tab w:val="left" w:pos="6579"/>
        </w:tabs>
        <w:spacing w:before="90"/>
        <w:ind w:left="443"/>
        <w:rPr>
          <w:lang w:val="en-US"/>
        </w:rPr>
      </w:pPr>
      <w:r>
        <w:rPr>
          <w:lang w:val="en-US"/>
        </w:rPr>
        <w:t xml:space="preserve"> </w:t>
      </w:r>
    </w:p>
    <w:p w:rsidR="00274C33" w:rsidRDefault="00274C33">
      <w:pPr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:rsidR="00274C33" w:rsidRPr="00636CED" w:rsidRDefault="00636CED">
      <w:pPr>
        <w:pStyle w:val="a3"/>
        <w:spacing w:before="10"/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274C33" w:rsidRPr="00636CED" w:rsidRDefault="00636CED">
      <w:pPr>
        <w:pStyle w:val="1"/>
        <w:spacing w:before="90"/>
        <w:ind w:left="1963" w:right="1963"/>
        <w:jc w:val="center"/>
        <w:rPr>
          <w:lang w:val="en-US"/>
        </w:rPr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</w:p>
    <w:p w:rsidR="00274C33" w:rsidRDefault="00636CED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:rsidR="00274C33" w:rsidRDefault="00274C33">
      <w:pPr>
        <w:pStyle w:val="a3"/>
        <w:spacing w:before="5"/>
        <w:rPr>
          <w:b/>
        </w:rPr>
      </w:pPr>
    </w:p>
    <w:p w:rsidR="00274C33" w:rsidRDefault="00636CED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:rsidR="00274C33" w:rsidRDefault="00636CED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:rsidR="00274C33" w:rsidRDefault="00636CED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:rsidR="00274C33" w:rsidRDefault="00636CED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:rsidR="00274C33" w:rsidRDefault="00274C33">
      <w:pPr>
        <w:pStyle w:val="a3"/>
        <w:spacing w:before="8"/>
      </w:pPr>
    </w:p>
    <w:p w:rsidR="00274C33" w:rsidRDefault="00636CED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:rsidR="00274C33" w:rsidRDefault="00636CED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:rsidR="00274C33" w:rsidRDefault="00636CED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:rsidR="00274C33" w:rsidRDefault="00636CED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:rsidR="00274C33" w:rsidRDefault="00636CED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:rsidR="00274C33" w:rsidRDefault="00636CED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:rsidR="00274C33" w:rsidRDefault="00636CED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:rsidR="00274C33" w:rsidRDefault="00636CED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:rsidR="00274C33" w:rsidRDefault="00636CED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:rsidR="00274C33" w:rsidRDefault="00636CED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:rsidR="00274C33" w:rsidRDefault="00636CED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:rsidR="00274C33" w:rsidRDefault="00636CED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t>Кедендік баждар</w:t>
      </w:r>
    </w:p>
    <w:p w:rsidR="00274C33" w:rsidRDefault="00636CED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:rsidR="00274C33" w:rsidRDefault="00636CED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:rsidR="00274C33" w:rsidRDefault="00636CED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:rsidR="00274C33" w:rsidRDefault="00636CED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:rsidR="00274C33" w:rsidRDefault="00636CED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:rsidR="00274C33" w:rsidRDefault="00636CED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:rsidR="00274C33" w:rsidRDefault="00636CED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:rsidR="00274C33" w:rsidRDefault="00274C33">
      <w:pPr>
        <w:pStyle w:val="a3"/>
      </w:pPr>
    </w:p>
    <w:p w:rsidR="00274C33" w:rsidRDefault="00636CED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:rsidR="00274C33" w:rsidRDefault="00636CED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:rsidR="00274C33" w:rsidRDefault="00636CED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:rsidR="00274C33" w:rsidRDefault="00636CED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:rsidR="00274C33" w:rsidRDefault="00636CED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:rsidR="00274C33" w:rsidRDefault="00274C33">
      <w:pPr>
        <w:pStyle w:val="a3"/>
      </w:pPr>
    </w:p>
    <w:p w:rsidR="00274C33" w:rsidRDefault="00636CED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:rsidR="00274C33" w:rsidRDefault="00636CED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:rsidR="00274C33" w:rsidRDefault="00274C33">
      <w:pPr>
        <w:pStyle w:val="a3"/>
      </w:pPr>
    </w:p>
    <w:p w:rsidR="00274C33" w:rsidRDefault="00636CED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:rsidR="00274C33" w:rsidRDefault="00274C33">
      <w:pPr>
        <w:pStyle w:val="a3"/>
        <w:rPr>
          <w:b/>
        </w:rPr>
      </w:pPr>
    </w:p>
    <w:p w:rsidR="00274C33" w:rsidRDefault="00636CED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:rsidR="00274C33" w:rsidRDefault="00636CED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:rsidR="00274C33" w:rsidRDefault="00274C33">
      <w:pPr>
        <w:pStyle w:val="a3"/>
      </w:pPr>
    </w:p>
    <w:p w:rsidR="00274C33" w:rsidRDefault="00636CED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:rsidR="00274C33" w:rsidRDefault="00636CED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:rsidR="00274C33" w:rsidRDefault="00636CED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:rsidR="00274C33" w:rsidRDefault="00636CED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:rsidR="00274C33" w:rsidRDefault="00636CED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:rsidR="00274C33" w:rsidRDefault="00636CED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:rsidR="00274C33" w:rsidRDefault="00274C33">
      <w:pPr>
        <w:pStyle w:val="a3"/>
      </w:pPr>
    </w:p>
    <w:p w:rsidR="00274C33" w:rsidRDefault="00636CED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:rsidR="00274C33" w:rsidRDefault="00636CED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:rsidR="00274C33" w:rsidRDefault="00636CED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:rsidR="00274C33" w:rsidRDefault="00636CED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>Әлемдік 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:rsidR="00274C33" w:rsidRDefault="00274C33">
      <w:pPr>
        <w:pStyle w:val="a3"/>
      </w:pPr>
    </w:p>
    <w:p w:rsidR="00274C33" w:rsidRDefault="00636CED">
      <w:pPr>
        <w:pStyle w:val="1"/>
        <w:ind w:left="4251"/>
      </w:pPr>
      <w:r>
        <w:t>Әдебиеттер:</w:t>
      </w:r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:rsidR="00274C33" w:rsidRDefault="00636CED">
      <w:pPr>
        <w:pStyle w:val="a3"/>
        <w:ind w:left="839"/>
      </w:pPr>
      <w:r>
        <w:t>с.</w:t>
      </w:r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5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6" w:history="1">
        <w:r>
          <w:rPr>
            <w:sz w:val="24"/>
            <w:szCs w:val="24"/>
          </w:rPr>
          <w:t>kon.kz/</w:t>
        </w:r>
      </w:hyperlink>
    </w:p>
    <w:p w:rsidR="00274C33" w:rsidRDefault="00636CED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8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:rsidR="00274C33" w:rsidRDefault="00636CED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9" w:history="1">
        <w:r>
          <w:t>www.univer.kaznu.kz.</w:t>
        </w:r>
      </w:hyperlink>
      <w:r>
        <w:t xml:space="preserve"> ПОӘК бөлімінде.</w:t>
      </w:r>
    </w:p>
    <w:sectPr w:rsidR="00274C33" w:rsidSect="002D58DF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83"/>
  <w:characterSpacingControl w:val="doNotCompress"/>
  <w:compat/>
  <w:rsids>
    <w:rsidRoot w:val="00274C33"/>
    <w:rsid w:val="00274C33"/>
    <w:rsid w:val="002D58DF"/>
    <w:rsid w:val="00317AD9"/>
    <w:rsid w:val="00331AA0"/>
    <w:rsid w:val="003412F9"/>
    <w:rsid w:val="00636CED"/>
    <w:rsid w:val="00641BB4"/>
    <w:rsid w:val="008102B8"/>
    <w:rsid w:val="0082064C"/>
    <w:rsid w:val="008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8DF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rsid w:val="002D58DF"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D58DF"/>
    <w:rPr>
      <w:sz w:val="24"/>
      <w:szCs w:val="24"/>
    </w:rPr>
  </w:style>
  <w:style w:type="paragraph" w:styleId="a4">
    <w:name w:val="List Paragraph"/>
    <w:basedOn w:val="a"/>
    <w:qFormat/>
    <w:rsid w:val="002D58DF"/>
    <w:pPr>
      <w:ind w:left="222" w:firstLine="568"/>
      <w:jc w:val="both"/>
    </w:pPr>
  </w:style>
  <w:style w:type="paragraph" w:customStyle="1" w:styleId="TableParagraph">
    <w:name w:val="Table Paragraph"/>
    <w:basedOn w:val="a"/>
    <w:qFormat/>
    <w:rsid w:val="002D58DF"/>
    <w:pPr>
      <w:spacing w:line="271" w:lineRule="exact"/>
      <w:ind w:left="33"/>
    </w:pPr>
  </w:style>
  <w:style w:type="paragraph" w:styleId="a5">
    <w:name w:val="Balloon Text"/>
    <w:basedOn w:val="a"/>
    <w:link w:val="a6"/>
    <w:uiPriority w:val="99"/>
    <w:semiHidden/>
    <w:unhideWhenUsed/>
    <w:rsid w:val="00636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ED"/>
    <w:rPr>
      <w:rFonts w:ascii="Tahoma" w:eastAsia="Times New Roman" w:hAnsi="Tahoma" w:cs="Tahoma"/>
      <w:sz w:val="16"/>
      <w:szCs w:val="16"/>
      <w:lang w:val="kk-KZ"/>
    </w:rPr>
  </w:style>
  <w:style w:type="paragraph" w:customStyle="1" w:styleId="11">
    <w:name w:val="Заголовок 11"/>
    <w:basedOn w:val="a"/>
    <w:uiPriority w:val="1"/>
    <w:qFormat/>
    <w:rsid w:val="00636CED"/>
    <w:pPr>
      <w:autoSpaceDE w:val="0"/>
      <w:autoSpaceDN w:val="0"/>
      <w:ind w:left="663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ver.kazn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asus</cp:lastModifiedBy>
  <cp:revision>2</cp:revision>
  <dcterms:created xsi:type="dcterms:W3CDTF">2023-10-08T15:24:00Z</dcterms:created>
  <dcterms:modified xsi:type="dcterms:W3CDTF">2023-10-08T15:24:00Z</dcterms:modified>
</cp:coreProperties>
</file>